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9B" w:rsidRDefault="001F439B" w:rsidP="002A2DFB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         </w:t>
      </w:r>
      <w:r w:rsidR="00973020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i1025" type="#_x0000_t75" alt="logo" style="width:293.25pt;height:90pt;visibility:visible">
            <v:imagedata r:id="rId7" o:title="" gain="156038f" blacklevel="-655f"/>
          </v:shape>
        </w:pict>
      </w:r>
    </w:p>
    <w:p w:rsidR="001F439B" w:rsidRPr="008A516F" w:rsidRDefault="001F439B" w:rsidP="002A2DFB">
      <w:pPr>
        <w:spacing w:line="240" w:lineRule="auto"/>
        <w:jc w:val="both"/>
        <w:rPr>
          <w:b/>
          <w:sz w:val="24"/>
          <w:szCs w:val="24"/>
        </w:rPr>
      </w:pPr>
      <w:r w:rsidRPr="008A516F">
        <w:rPr>
          <w:b/>
          <w:sz w:val="24"/>
          <w:szCs w:val="24"/>
        </w:rPr>
        <w:t>Potrzeba stworzenia wspólnego frontu  strony społecznej z pracodawcami  z najbardziej energochłonnych polskich firm w sprawie  przeciwdziałania drastycznym wzrostom cen energii elektrycznej oraz wymuszenie wprowadzenia rozwiązań systemowych w polityce energetycznej państwa. Taki wniosek płynie z konferencji dotyczącej kosztów energii elektrycznej dla przedsiębiorstw energochłonnych  zorganizowanej przez Solidarność w Zakładach Górniczo – Hutniczych w Bukownie.</w:t>
      </w:r>
    </w:p>
    <w:p w:rsidR="001F439B" w:rsidRDefault="001F439B">
      <w:r>
        <w:t>Temat cen energii elektrycznej zgodnie z prezentacja przedstawioną  przez prezesa B. Ochaba  można podzielić na dwie części . Część I związaną  z nałożeniem podatku akcyzowego, wprowadzenie konieczności</w:t>
      </w:r>
      <w:r w:rsidR="005C2DD1">
        <w:t xml:space="preserve"> wykupu świadectw pochodzenia t</w:t>
      </w:r>
      <w:r>
        <w:t>z</w:t>
      </w:r>
      <w:r w:rsidR="005C2DD1">
        <w:t>w.</w:t>
      </w:r>
      <w:r>
        <w:t xml:space="preserve"> „kolorowych certyfikatów” i szerokiego wachlarza opłat przesyłowych natomiast  część II  - konieczność  wykupu uprawnień do emisji CO</w:t>
      </w:r>
      <w:r w:rsidRPr="00CC3A39">
        <w:rPr>
          <w:vertAlign w:val="subscript"/>
        </w:rPr>
        <w:t xml:space="preserve">2  </w:t>
      </w:r>
      <w:r>
        <w:t>od roku 2013 .Wszystkie te dodatkowe obciążenia powodujące wzrost ceny energii elektrycznej wymuszone Dyrektywami Parlamentu Europejskiego w przypadku Polski przenoszone są bezpośrednio i w całości na odbiorcę końcowego  pomimo szerokiego wachlarza ulg, zwolnień i rekompensat przewidzianych w Prawie Unijnym i szeroko stosowanych pozostałych krajach Unii tylko nie w Polsce. Dalsze prowadzenie takiej polityki energetycznej doprowadzi do braku konkurencyjności przemysłu  polskiego na arenie międzynarodowej  a w konsekwencji do likwidacji zakładów pracy.</w:t>
      </w:r>
    </w:p>
    <w:p w:rsidR="001F439B" w:rsidRDefault="001F439B"/>
    <w:p w:rsidR="001F439B" w:rsidRPr="007C465C" w:rsidRDefault="001F439B">
      <w:pPr>
        <w:rPr>
          <w:b/>
          <w:i/>
          <w:sz w:val="40"/>
          <w:szCs w:val="40"/>
        </w:rPr>
      </w:pPr>
      <w:r>
        <w:t xml:space="preserve">                                                                                          </w:t>
      </w:r>
      <w:r w:rsidRPr="007C465C">
        <w:rPr>
          <w:b/>
          <w:i/>
          <w:sz w:val="40"/>
          <w:szCs w:val="40"/>
        </w:rPr>
        <w:t>Część I</w:t>
      </w:r>
    </w:p>
    <w:p w:rsidR="001F439B" w:rsidRDefault="001F439B">
      <w:r>
        <w:t xml:space="preserve">Poniższy  w rysunek obrazuje  jakie składniki wchodzą w ostateczną cenę 1 MWH </w:t>
      </w:r>
    </w:p>
    <w:p w:rsidR="001F439B" w:rsidRDefault="001F439B">
      <w:r w:rsidRPr="00A30A6D">
        <w:object w:dxaOrig="7191" w:dyaOrig="5401">
          <v:shape id="_x0000_i1026" type="#_x0000_t75" style="width:514.5pt;height:313.5pt" o:ole="">
            <v:imagedata r:id="rId8" o:title=""/>
          </v:shape>
          <o:OLEObject Type="Embed" ProgID="PowerPoint.Template.12" ShapeID="_x0000_i1026" DrawAspect="Content" ObjectID="_1375687901" r:id="rId9"/>
        </w:object>
      </w:r>
    </w:p>
    <w:p w:rsidR="001F439B" w:rsidRDefault="001F439B">
      <w:r>
        <w:lastRenderedPageBreak/>
        <w:t>jak widać aż 34% ceny to różnego rodzaju dodatkowe opłaty niemające nic wspólnego z kosztem wyprodukowania energii.</w:t>
      </w:r>
    </w:p>
    <w:p w:rsidR="001F439B" w:rsidRDefault="001F439B">
      <w:r>
        <w:t>A jak to wygląda w innych krajach UE.</w:t>
      </w:r>
    </w:p>
    <w:p w:rsidR="001F439B" w:rsidRDefault="001F439B">
      <w:r>
        <w:t>Aby uprościć rysunek podzielmy strukturę kosztów energii elektrycznej tylko na dwa składniki czyli koszt energii „czarnej” i obciążenia podatkowe (równy poziom nie oznacza równych ceny  Polska w tej dziedzinie jest w czołówce europy)</w:t>
      </w:r>
    </w:p>
    <w:p w:rsidR="001F439B" w:rsidRDefault="001F439B"/>
    <w:p w:rsidR="001F439B" w:rsidRDefault="001F439B">
      <w:r>
        <w:t xml:space="preserve">                   </w:t>
      </w:r>
      <w:r w:rsidR="005C2DD1">
        <w:rPr>
          <w:noProof/>
          <w:lang w:eastAsia="pl-PL"/>
        </w:rPr>
        <w:pict>
          <v:shape id="Wykres 1" o:spid="_x0000_i1027" type="#_x0000_t75" style="width:409.5pt;height:145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">
            <v:imagedata r:id="rId10" o:title="" cropbottom="-68f"/>
            <o:lock v:ext="edit" aspectratio="f"/>
          </v:shape>
        </w:pict>
      </w:r>
    </w:p>
    <w:p w:rsidR="001F439B" w:rsidRDefault="001F439B">
      <w:r>
        <w:t>Nasuwają się proste wnioski:</w:t>
      </w:r>
    </w:p>
    <w:p w:rsidR="001F439B" w:rsidRDefault="001F439B" w:rsidP="000A2A10">
      <w:pPr>
        <w:pStyle w:val="Akapitzlist"/>
        <w:numPr>
          <w:ilvl w:val="0"/>
          <w:numId w:val="1"/>
        </w:numPr>
      </w:pPr>
      <w:r>
        <w:t>W krajach UE niema jednolitych zasad w zakresie rozwiązań systemowych dla odbiorców energochłonnych</w:t>
      </w:r>
    </w:p>
    <w:p w:rsidR="001F439B" w:rsidRDefault="001F439B" w:rsidP="000A2A10">
      <w:pPr>
        <w:pStyle w:val="Akapitzlist"/>
        <w:numPr>
          <w:ilvl w:val="0"/>
          <w:numId w:val="1"/>
        </w:numPr>
      </w:pPr>
      <w:r>
        <w:t>Każdy z krajów UE posiada własne rozwiązania w zakresie cen energii elektrycznej dla firm energochłonnych</w:t>
      </w:r>
    </w:p>
    <w:p w:rsidR="001F439B" w:rsidRDefault="001F439B" w:rsidP="008D7EC2">
      <w:pPr>
        <w:pStyle w:val="Akapitzlist"/>
        <w:numPr>
          <w:ilvl w:val="0"/>
          <w:numId w:val="1"/>
        </w:numPr>
      </w:pPr>
      <w:r>
        <w:t>W Polsce w cenie energii elektrycznej przesył ,opodatkowanie, wsparcie energii odnawialnej stanowi zdecydowanie największy udział</w:t>
      </w:r>
    </w:p>
    <w:p w:rsidR="001F439B" w:rsidRDefault="001F439B" w:rsidP="009D7EC5">
      <w:pPr>
        <w:ind w:left="360"/>
      </w:pPr>
      <w:r>
        <w:rPr>
          <w:b/>
          <w:bCs/>
        </w:rPr>
        <w:t xml:space="preserve">Potwierdzeniem tych danych znajdziemy w analizie </w:t>
      </w:r>
      <w:r w:rsidRPr="009D7EC5">
        <w:rPr>
          <w:b/>
          <w:bCs/>
        </w:rPr>
        <w:t xml:space="preserve">Koncernu </w:t>
      </w:r>
      <w:proofErr w:type="spellStart"/>
      <w:r w:rsidRPr="009D7EC5">
        <w:rPr>
          <w:b/>
          <w:bCs/>
        </w:rPr>
        <w:t>ArcelorMittal</w:t>
      </w:r>
      <w:proofErr w:type="spellEnd"/>
      <w:r w:rsidRPr="009D7EC5">
        <w:rPr>
          <w:b/>
          <w:bCs/>
        </w:rPr>
        <w:t>, spośród 8 analizowanych krajów UE (Luksemburg, Francja, Niemcy, Czechy, Belgia, Hiszpania, Włochy i Polska)</w:t>
      </w:r>
      <w:r>
        <w:t xml:space="preserve"> w Polsce są najgorsze warunki do inwestowania z uwagi na największe koszty zakupu i przesyłu energii elektrycznej .Drugie państwo na liście ma koszty związane z energią o 18% lepsze liderem jest Luksemburg gdzie prąd można kupić o 33% taniej niż w Polsce.</w:t>
      </w:r>
    </w:p>
    <w:p w:rsidR="001F439B" w:rsidRDefault="001F439B" w:rsidP="00D848FD">
      <w:r>
        <w:t xml:space="preserve">Tą złą sytuację dla przemysłu można zmienić , rozwiązania dotyczące akcyzy daje  </w:t>
      </w:r>
      <w:r w:rsidRPr="00D848FD">
        <w:rPr>
          <w:b/>
          <w:bCs/>
        </w:rPr>
        <w:t xml:space="preserve">Dyrektywa Rady 2003/96/WE </w:t>
      </w:r>
      <w:r w:rsidRPr="00D848FD">
        <w:t xml:space="preserve">z dnia 27 października 2003 </w:t>
      </w:r>
      <w:proofErr w:type="spellStart"/>
      <w:r w:rsidRPr="00D848FD">
        <w:t>r</w:t>
      </w:r>
      <w:proofErr w:type="spellEnd"/>
      <w:r w:rsidRPr="00D848FD">
        <w:t xml:space="preserve"> .w sprawie restrukturyzacji wspólnotowych przepisów ramowych dotyczących opodatkowania produktów energe</w:t>
      </w:r>
      <w:r>
        <w:t>tycznych i energii elektrycznej, jeżeli chodzi o przesył  i wsparcie dla OZE(Odnawialnych Źródeł Energii) szereg rozwiązań jest w rękach ustawodawcy przepisy Unijne nie stanowią jednoznacznie  w tych dziedzinach jednak na to pozwalają z czego korzysta szereg krajów UE.</w:t>
      </w:r>
    </w:p>
    <w:p w:rsidR="001F439B" w:rsidRPr="007C465C" w:rsidRDefault="001F439B" w:rsidP="00D848FD">
      <w:pPr>
        <w:rPr>
          <w:b/>
          <w:i/>
          <w:sz w:val="40"/>
          <w:szCs w:val="40"/>
        </w:rPr>
      </w:pPr>
      <w:r w:rsidRPr="007C465C">
        <w:rPr>
          <w:b/>
          <w:i/>
          <w:sz w:val="40"/>
          <w:szCs w:val="40"/>
        </w:rPr>
        <w:t xml:space="preserve">                       </w:t>
      </w:r>
      <w:r>
        <w:rPr>
          <w:b/>
          <w:i/>
          <w:sz w:val="40"/>
          <w:szCs w:val="40"/>
        </w:rPr>
        <w:t xml:space="preserve">             </w:t>
      </w:r>
      <w:r w:rsidRPr="007C465C">
        <w:rPr>
          <w:b/>
          <w:i/>
          <w:sz w:val="40"/>
          <w:szCs w:val="40"/>
        </w:rPr>
        <w:t xml:space="preserve">         Część II</w:t>
      </w:r>
    </w:p>
    <w:p w:rsidR="001F439B" w:rsidRDefault="001F439B" w:rsidP="009000E5">
      <w:r>
        <w:rPr>
          <w:b/>
          <w:bCs/>
        </w:rPr>
        <w:t xml:space="preserve">                </w:t>
      </w:r>
      <w:r w:rsidRPr="005E2192">
        <w:rPr>
          <w:b/>
          <w:bCs/>
        </w:rPr>
        <w:t xml:space="preserve">Zagrożenia dla przedsiębiorstw energochłonnych spowodowane wprowadzeniem ETS </w:t>
      </w:r>
      <w:r w:rsidRPr="005E2192">
        <w:rPr>
          <w:b/>
          <w:bCs/>
        </w:rPr>
        <w:br/>
      </w:r>
      <w:r>
        <w:t xml:space="preserve">                                          </w:t>
      </w:r>
      <w:r w:rsidRPr="005E2192">
        <w:t>(Europejski System Handlu Uprawnieniami do Emisji)</w:t>
      </w:r>
      <w:r w:rsidRPr="005E2192">
        <w:br/>
      </w:r>
      <w:r>
        <w:t>Następnym czynnikiem który spowoduje drastyczny wzrost cen od roku 2013 są tz</w:t>
      </w:r>
      <w:r w:rsidR="005C2DD1">
        <w:t>w</w:t>
      </w:r>
      <w:r>
        <w:t>. ETS czyli limity uprawnień do emisji CO</w:t>
      </w:r>
      <w:r w:rsidRPr="00CC3A39">
        <w:rPr>
          <w:vertAlign w:val="subscript"/>
        </w:rPr>
        <w:t>2</w:t>
      </w:r>
      <w:r>
        <w:t xml:space="preserve"> a co zatem idzie konieczność ich dokupywania na </w:t>
      </w:r>
      <w:r w:rsidRPr="007C465C">
        <w:t>Giełdzie Emisji</w:t>
      </w:r>
      <w:r>
        <w:t xml:space="preserve"> . Polska ze względu na specyfikę produkcji energii elektrycznej ( większość energii produkuje się z węgla kamiennego i brunatnego około98%) będzie zmuszona do dokupienia zdecydowanie większej ilości uprawnień do emisji CO</w:t>
      </w:r>
      <w:r w:rsidRPr="00CC3A39">
        <w:rPr>
          <w:vertAlign w:val="subscript"/>
        </w:rPr>
        <w:t>2</w:t>
      </w:r>
      <w:r w:rsidRPr="00CC3A39">
        <w:t xml:space="preserve"> </w:t>
      </w:r>
      <w:r>
        <w:t xml:space="preserve">niż inne kraje europejskie. W konsekwencji spowoduje to wzrost cen energii wyższy niż w innych krajach. Ponieważ poza Unią Europejską nikt nie </w:t>
      </w:r>
      <w:r>
        <w:lastRenderedPageBreak/>
        <w:t>wprowadza ograniczeń emisji CO</w:t>
      </w:r>
      <w:r w:rsidRPr="00CC3A39">
        <w:rPr>
          <w:vertAlign w:val="subscript"/>
        </w:rPr>
        <w:t>2</w:t>
      </w:r>
      <w:r>
        <w:t xml:space="preserve"> wzrost cen energii  spowoduje utratę konkurencyjności europejskich przedsiębiorstw a polskich szczególnie. W pierwszej kolejności odczują to firmy energochłonne.  </w:t>
      </w:r>
    </w:p>
    <w:p w:rsidR="001F439B" w:rsidRDefault="001F439B" w:rsidP="009000E5"/>
    <w:p w:rsidR="001F439B" w:rsidRDefault="001F439B" w:rsidP="009000E5"/>
    <w:p w:rsidR="001F439B" w:rsidRDefault="001F439B" w:rsidP="009000E5"/>
    <w:p w:rsidR="001F439B" w:rsidRDefault="005C2DD1" w:rsidP="009000E5">
      <w:r>
        <w:rPr>
          <w:noProof/>
          <w:lang w:eastAsia="pl-PL"/>
        </w:rPr>
        <w:pict>
          <v:shape id="Obraz 1" o:spid="_x0000_i1028" type="#_x0000_t75" alt="Struktura produkcji EE UE-27" style="width:542.25pt;height:348.75pt;visibility:visible">
            <v:imagedata r:id="rId11" o:title=""/>
          </v:shape>
        </w:pict>
      </w:r>
    </w:p>
    <w:p w:rsidR="001F439B" w:rsidRDefault="001F439B" w:rsidP="007C465C">
      <w:r>
        <w:t xml:space="preserve">Prawo unijne nakłada obowiązek zakupu uprawnień ale też przewiduje wypłaty </w:t>
      </w:r>
      <w:proofErr w:type="spellStart"/>
      <w:r>
        <w:t>tz</w:t>
      </w:r>
      <w:proofErr w:type="spellEnd"/>
      <w:r>
        <w:t>.  rekompensat dla firm, które poniosą największe koszty wprowadzenia ETS (określony wzrost % energii w kosztach produkcji) jak również znajdują się w wykazie sektorów narażonych na ucieczkę  emisji  przedstawioną przez dane Państwo a zaakceptowany  przez UE Decyzja Komisji z dnia 24 grudnia 2009r.((wypłata rekompensat nie jest obowiązkiem państwa członkowskiego przepisy UE stwarzają tylko taką możliwość).</w:t>
      </w:r>
    </w:p>
    <w:p w:rsidR="001F439B" w:rsidRDefault="001F439B" w:rsidP="009000E5"/>
    <w:p w:rsidR="001F439B" w:rsidRPr="005E2192" w:rsidRDefault="001F439B" w:rsidP="00154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E2192">
        <w:rPr>
          <w:b/>
          <w:bCs/>
        </w:rPr>
        <w:t>DYREKTYWA PARLAMENTU EUROPEJSKIEGO I RADY 2009/29/WE</w:t>
      </w:r>
      <w:r w:rsidRPr="005E2192">
        <w:t xml:space="preserve"> </w:t>
      </w:r>
      <w:r w:rsidRPr="005E2192">
        <w:rPr>
          <w:b/>
          <w:bCs/>
        </w:rPr>
        <w:t>z dnia 23 kwietnia 2009 r.</w:t>
      </w:r>
      <w:r w:rsidRPr="005E2192">
        <w:t xml:space="preserve"> zmieniająca dyrektywę 2003/87/WE w celu usprawnienia i rozszerzenia wspólnotowego systemu handlu uprawnieniami do emisji gazów cieplarnianych.</w:t>
      </w:r>
    </w:p>
    <w:p w:rsidR="001F439B" w:rsidRPr="005E2192" w:rsidRDefault="001F439B" w:rsidP="00154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E2192">
        <w:rPr>
          <w:b/>
          <w:bCs/>
        </w:rPr>
        <w:t>Art. 10a pkt. 6</w:t>
      </w:r>
    </w:p>
    <w:p w:rsidR="001F439B" w:rsidRPr="005C2DD1" w:rsidRDefault="001F439B" w:rsidP="005C2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E2192">
        <w:rPr>
          <w:b/>
          <w:bCs/>
        </w:rPr>
        <w:t>Państwa członkowskie mogą również przyjąć środki finansowe na rzecz sektorów lub podsektorów, które uznaje się za narażone na znaczące ryzyko ucieczki emisji z powodu przenoszenia kosztów związanych z emisją gazów cieplarnianych w ceny energii, w celu kompensacji tych kosztów ……….</w:t>
      </w:r>
    </w:p>
    <w:p w:rsidR="001F439B" w:rsidRDefault="001F439B" w:rsidP="009000E5"/>
    <w:p w:rsidR="001F439B" w:rsidRDefault="001F439B" w:rsidP="009000E5">
      <w:r>
        <w:t xml:space="preserve">  Polska jednak niema zamiaru skorzystać z tego rozwiązania zasłaniając się derogacjami uzyskanymi przez energetykę  przecież aby zakład energetyczny otrzymał przydział darmowych uprawnień musi spełnić szereg warunków jednym z nich jest potrzeba wdrożenia planu inwestycyjnego zrównoważonego  z wielkością  uzyskanych bezpłatnych emisji, ceny prądu wzrosną też z tego powodu.</w:t>
      </w:r>
    </w:p>
    <w:p w:rsidR="001F439B" w:rsidRDefault="001F439B" w:rsidP="009000E5">
      <w:r>
        <w:t xml:space="preserve">Derogacje, bardzo ważne dla energetyki niewiele zmienią sytuacji odbiorców energii elektrycznej. </w:t>
      </w:r>
    </w:p>
    <w:p w:rsidR="001F439B" w:rsidRDefault="001F439B" w:rsidP="009000E5"/>
    <w:p w:rsidR="001F439B" w:rsidRPr="009000E5" w:rsidRDefault="001F439B" w:rsidP="009000E5"/>
    <w:p w:rsidR="001F439B" w:rsidRPr="009000E5" w:rsidRDefault="001F439B" w:rsidP="00D7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00E5">
        <w:rPr>
          <w:b/>
          <w:bCs/>
        </w:rPr>
        <w:t xml:space="preserve">Pismo Ministerstwa Gospodarki z dnia 29 września 2010 roku; (DRG-II-0782-6/10 L.dz. 807/10) </w:t>
      </w:r>
    </w:p>
    <w:p w:rsidR="001F439B" w:rsidRPr="009000E5" w:rsidRDefault="001F439B" w:rsidP="00D7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00E5">
        <w:t>…z uwagi na fakt, że polska energetyka będzie objęta derogacją od zakupu uprawnień na aukcjach w okresie 2013-2020, która złagodzi wzrost cen energii elektrycznej z tytułu wdrożenia EU ETS w Polsce, Ministerstwo Gospodarki na chwilę obecną nie rozpatruje możliwości udzielenia dodatkowych rekompensat dla odbiorców przemysłowych w tym zakresie.</w:t>
      </w:r>
    </w:p>
    <w:p w:rsidR="001F439B" w:rsidRDefault="001F439B" w:rsidP="005E2192">
      <w:r w:rsidRPr="005E2192">
        <w:rPr>
          <w:b/>
          <w:bCs/>
        </w:rPr>
        <w:t xml:space="preserve">Jak wynika z informacji opublikowanych w </w:t>
      </w:r>
      <w:proofErr w:type="spellStart"/>
      <w:r w:rsidRPr="005E2192">
        <w:rPr>
          <w:b/>
          <w:bCs/>
        </w:rPr>
        <w:t>MetalBulletin</w:t>
      </w:r>
      <w:proofErr w:type="spellEnd"/>
      <w:r w:rsidRPr="005E2192">
        <w:rPr>
          <w:b/>
          <w:bCs/>
        </w:rPr>
        <w:t xml:space="preserve"> (z 22 listopada 2010 roku</w:t>
      </w:r>
      <w:r w:rsidRPr="005E2192">
        <w:t>) – niemiecki rząd ogłosił plan dotacji operacyjnych w wysokości 40 mln euro, przeznaczonych dla firm zajmujących się energochłonną produkcją metali nieżelaznych, takich jak aluminium, miedź i cynk. Środki te mają zrównoważyć niemieckim firmom energochłonnym wzrost kosztów energii elektrycznej spowodowany obowiązkowym zakupem uprawnień do emisji CO</w:t>
      </w:r>
      <w:r w:rsidRPr="005E2192">
        <w:rPr>
          <w:vertAlign w:val="subscript"/>
        </w:rPr>
        <w:t>2</w:t>
      </w:r>
      <w:r w:rsidRPr="005E2192">
        <w:t>.</w:t>
      </w:r>
    </w:p>
    <w:p w:rsidR="001F439B" w:rsidRDefault="001F439B" w:rsidP="005E2192">
      <w:r>
        <w:t>Nie możemy zapomnieć o konieczności wprowadzenie akcyzy na węgiel  od roku 2012. Kolejne obciążenie wynikające z prawa UE i w tym przypadku istnieje szereg rozwiązań mających na celu złagodzenie kosztów wprowadzenia akcyzy ,trzeba je tylko wprowadzić w życie</w:t>
      </w:r>
    </w:p>
    <w:p w:rsidR="001F439B" w:rsidRDefault="001F439B" w:rsidP="005E2192"/>
    <w:p w:rsidR="001F439B" w:rsidRPr="007C465C" w:rsidRDefault="001F439B" w:rsidP="005E2192">
      <w:pPr>
        <w:rPr>
          <w:b/>
          <w:i/>
          <w:sz w:val="32"/>
          <w:szCs w:val="32"/>
        </w:rPr>
      </w:pPr>
      <w:r w:rsidRPr="007C465C">
        <w:rPr>
          <w:b/>
          <w:i/>
          <w:sz w:val="32"/>
          <w:szCs w:val="32"/>
        </w:rPr>
        <w:t xml:space="preserve">                                               PODSUMOWANIE</w:t>
      </w:r>
    </w:p>
    <w:p w:rsidR="001F439B" w:rsidRPr="005E2192" w:rsidRDefault="001F439B" w:rsidP="005E2192">
      <w:pPr>
        <w:numPr>
          <w:ilvl w:val="0"/>
          <w:numId w:val="2"/>
        </w:numPr>
      </w:pPr>
      <w:r w:rsidRPr="005E2192">
        <w:rPr>
          <w:b/>
          <w:bCs/>
        </w:rPr>
        <w:t>Dla firm energochłonnych w Polsce już od ponad dwóch lat winny być zastosowane rozwiązania systemowe, podobne jak w krajach UE, w zakresie przesyłu, opodatkowania i wsparcia energetyki odnawialnej, które ograniczają koszty energii elektrycznej.</w:t>
      </w:r>
    </w:p>
    <w:p w:rsidR="001F439B" w:rsidRPr="005E2192" w:rsidRDefault="001F439B" w:rsidP="005E2192">
      <w:pPr>
        <w:numPr>
          <w:ilvl w:val="0"/>
          <w:numId w:val="2"/>
        </w:numPr>
      </w:pPr>
      <w:r w:rsidRPr="005E2192">
        <w:rPr>
          <w:b/>
          <w:bCs/>
        </w:rPr>
        <w:t>Dla firm energochłonnych w Polsce wzrost kosztów energii elektrycznej, spowodowany wprowadzeniem ETS (CO</w:t>
      </w:r>
      <w:r w:rsidRPr="00CC3A39">
        <w:rPr>
          <w:b/>
          <w:bCs/>
          <w:vertAlign w:val="subscript"/>
        </w:rPr>
        <w:t>2</w:t>
      </w:r>
      <w:r w:rsidRPr="005E2192">
        <w:rPr>
          <w:b/>
          <w:bCs/>
        </w:rPr>
        <w:t xml:space="preserve">), musi być zrekompensowany zgodnie z Dyrektywą UE. </w:t>
      </w:r>
    </w:p>
    <w:p w:rsidR="001F439B" w:rsidRDefault="001F439B" w:rsidP="008D7EC2">
      <w:r>
        <w:t xml:space="preserve">       </w:t>
      </w:r>
    </w:p>
    <w:p w:rsidR="001F439B" w:rsidRDefault="001F439B" w:rsidP="008D7EC2"/>
    <w:p w:rsidR="001F439B" w:rsidRDefault="001F439B" w:rsidP="008D7EC2"/>
    <w:p w:rsidR="001F439B" w:rsidRPr="00CC3A39" w:rsidRDefault="001F439B" w:rsidP="008D7EC2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</w:t>
      </w:r>
      <w:r w:rsidRPr="00CC3A39">
        <w:rPr>
          <w:sz w:val="18"/>
          <w:szCs w:val="18"/>
        </w:rPr>
        <w:t>Zaborowski Tomasz</w:t>
      </w:r>
    </w:p>
    <w:sectPr w:rsidR="001F439B" w:rsidRPr="00CC3A39" w:rsidSect="002A2DFB">
      <w:footerReference w:type="default" r:id="rId12"/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099" w:rsidRDefault="00F20099" w:rsidP="00D7660C">
      <w:pPr>
        <w:spacing w:after="0" w:line="240" w:lineRule="auto"/>
      </w:pPr>
      <w:r>
        <w:separator/>
      </w:r>
    </w:p>
  </w:endnote>
  <w:endnote w:type="continuationSeparator" w:id="0">
    <w:p w:rsidR="00F20099" w:rsidRDefault="00F20099" w:rsidP="00D7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9B" w:rsidRDefault="00973020">
    <w:pPr>
      <w:pStyle w:val="Stopka"/>
      <w:jc w:val="center"/>
    </w:pPr>
    <w:fldSimple w:instr=" PAGE   \* MERGEFORMAT ">
      <w:r w:rsidR="005C2DD1">
        <w:rPr>
          <w:noProof/>
        </w:rPr>
        <w:t>1</w:t>
      </w:r>
    </w:fldSimple>
  </w:p>
  <w:p w:rsidR="001F439B" w:rsidRDefault="001F43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099" w:rsidRDefault="00F20099" w:rsidP="00D7660C">
      <w:pPr>
        <w:spacing w:after="0" w:line="240" w:lineRule="auto"/>
      </w:pPr>
      <w:r>
        <w:separator/>
      </w:r>
    </w:p>
  </w:footnote>
  <w:footnote w:type="continuationSeparator" w:id="0">
    <w:p w:rsidR="00F20099" w:rsidRDefault="00F20099" w:rsidP="00D76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FEC"/>
    <w:multiLevelType w:val="hybridMultilevel"/>
    <w:tmpl w:val="88F4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4903B6"/>
    <w:multiLevelType w:val="hybridMultilevel"/>
    <w:tmpl w:val="17265302"/>
    <w:lvl w:ilvl="0" w:tplc="C70A8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AC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CB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42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A1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5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CC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CB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E8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A59"/>
    <w:rsid w:val="00027A59"/>
    <w:rsid w:val="000A2A10"/>
    <w:rsid w:val="00114F79"/>
    <w:rsid w:val="00152140"/>
    <w:rsid w:val="0015460E"/>
    <w:rsid w:val="0015676A"/>
    <w:rsid w:val="00196D40"/>
    <w:rsid w:val="001C44D8"/>
    <w:rsid w:val="001E436A"/>
    <w:rsid w:val="001F439B"/>
    <w:rsid w:val="00216C61"/>
    <w:rsid w:val="00244BC8"/>
    <w:rsid w:val="002A2DFB"/>
    <w:rsid w:val="002A4DDC"/>
    <w:rsid w:val="002C450A"/>
    <w:rsid w:val="0034042F"/>
    <w:rsid w:val="00393D90"/>
    <w:rsid w:val="00405318"/>
    <w:rsid w:val="00441E72"/>
    <w:rsid w:val="005C2DD1"/>
    <w:rsid w:val="005E2192"/>
    <w:rsid w:val="007C465C"/>
    <w:rsid w:val="00811D84"/>
    <w:rsid w:val="008A516F"/>
    <w:rsid w:val="008D1FE8"/>
    <w:rsid w:val="008D7EC2"/>
    <w:rsid w:val="009000E5"/>
    <w:rsid w:val="00973020"/>
    <w:rsid w:val="00974B0C"/>
    <w:rsid w:val="0099033F"/>
    <w:rsid w:val="009A2D76"/>
    <w:rsid w:val="009D7EC5"/>
    <w:rsid w:val="00A03C25"/>
    <w:rsid w:val="00A230CC"/>
    <w:rsid w:val="00A30A6D"/>
    <w:rsid w:val="00A3421E"/>
    <w:rsid w:val="00AC6A87"/>
    <w:rsid w:val="00AD0740"/>
    <w:rsid w:val="00C668CE"/>
    <w:rsid w:val="00C92BE1"/>
    <w:rsid w:val="00CC3A39"/>
    <w:rsid w:val="00CD4C26"/>
    <w:rsid w:val="00CE433B"/>
    <w:rsid w:val="00D60ED1"/>
    <w:rsid w:val="00D7660C"/>
    <w:rsid w:val="00D848FD"/>
    <w:rsid w:val="00DD4359"/>
    <w:rsid w:val="00E053FB"/>
    <w:rsid w:val="00F20099"/>
    <w:rsid w:val="00FC3DF3"/>
    <w:rsid w:val="00FD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3F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C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C450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A2A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D76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7660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76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766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301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01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package" Target="embeddings/Szablon_programu_Microsoft_Office_PowerPoint_20071.sl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1090</Words>
  <Characters>6544</Characters>
  <Application>Microsoft Office Word</Application>
  <DocSecurity>0</DocSecurity>
  <Lines>54</Lines>
  <Paragraphs>15</Paragraphs>
  <ScaleCrop>false</ScaleCrop>
  <Company>zwsoli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</dc:creator>
  <cp:keywords/>
  <dc:description/>
  <cp:lastModifiedBy>NSZZ</cp:lastModifiedBy>
  <cp:revision>13</cp:revision>
  <cp:lastPrinted>2011-08-24T08:11:00Z</cp:lastPrinted>
  <dcterms:created xsi:type="dcterms:W3CDTF">2011-08-18T10:06:00Z</dcterms:created>
  <dcterms:modified xsi:type="dcterms:W3CDTF">2011-08-24T08:45:00Z</dcterms:modified>
</cp:coreProperties>
</file>